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1340C" w14:textId="77777777" w:rsidR="004C56A0" w:rsidRPr="00377E01" w:rsidRDefault="004C56A0" w:rsidP="00372A7C">
      <w:pPr>
        <w:jc w:val="center"/>
        <w:rPr>
          <w:rFonts w:ascii="Verdana" w:hAnsi="Verdana"/>
          <w:b/>
          <w:szCs w:val="24"/>
        </w:rPr>
      </w:pPr>
      <w:r w:rsidRPr="00377E01">
        <w:rPr>
          <w:rFonts w:ascii="Verdana" w:hAnsi="Verdana"/>
          <w:szCs w:val="24"/>
        </w:rPr>
        <w:fldChar w:fldCharType="begin"/>
      </w:r>
      <w:r w:rsidRPr="00377E01">
        <w:rPr>
          <w:rFonts w:ascii="Verdana" w:hAnsi="Verdana"/>
          <w:szCs w:val="24"/>
        </w:rPr>
        <w:instrText xml:space="preserve"> SEQ CHAPTER \h \r 1</w:instrText>
      </w:r>
      <w:r w:rsidRPr="00377E01">
        <w:rPr>
          <w:rFonts w:ascii="Verdana" w:hAnsi="Verdana"/>
          <w:szCs w:val="24"/>
        </w:rPr>
        <w:fldChar w:fldCharType="end"/>
      </w:r>
      <w:r w:rsidRPr="00377E01">
        <w:rPr>
          <w:rFonts w:ascii="Verdana" w:hAnsi="Verdana"/>
          <w:b/>
          <w:szCs w:val="24"/>
        </w:rPr>
        <w:t>1001</w:t>
      </w:r>
      <w:bookmarkStart w:id="0" w:name="2"/>
      <w:bookmarkEnd w:id="0"/>
    </w:p>
    <w:p w14:paraId="44F669E8" w14:textId="77777777" w:rsidR="004C56A0" w:rsidRPr="00377E01" w:rsidRDefault="004C56A0" w:rsidP="00372A7C">
      <w:pPr>
        <w:jc w:val="center"/>
        <w:rPr>
          <w:rFonts w:ascii="Verdana" w:hAnsi="Verdana"/>
          <w:b/>
          <w:szCs w:val="24"/>
        </w:rPr>
      </w:pPr>
      <w:r w:rsidRPr="00377E01">
        <w:rPr>
          <w:rFonts w:ascii="Verdana" w:hAnsi="Verdana"/>
          <w:b/>
          <w:szCs w:val="24"/>
        </w:rPr>
        <w:t>General Policy Statement</w:t>
      </w:r>
    </w:p>
    <w:p w14:paraId="3C49AFF0" w14:textId="77777777" w:rsidR="00372A7C" w:rsidRPr="00377E01" w:rsidRDefault="00372A7C" w:rsidP="00372A7C">
      <w:pPr>
        <w:jc w:val="both"/>
        <w:rPr>
          <w:rFonts w:ascii="Verdana" w:hAnsi="Verdana"/>
          <w:szCs w:val="24"/>
        </w:rPr>
      </w:pPr>
    </w:p>
    <w:p w14:paraId="71EF6F0A" w14:textId="77777777" w:rsidR="004C56A0" w:rsidRPr="00377E01" w:rsidRDefault="004C56A0" w:rsidP="00372A7C">
      <w:pPr>
        <w:jc w:val="both"/>
        <w:rPr>
          <w:rFonts w:ascii="Verdana" w:hAnsi="Verdana"/>
          <w:szCs w:val="24"/>
        </w:rPr>
      </w:pPr>
      <w:r w:rsidRPr="00377E01">
        <w:rPr>
          <w:rFonts w:ascii="Verdana" w:hAnsi="Verdana"/>
          <w:szCs w:val="24"/>
        </w:rPr>
        <w:t>The organization, management, and control of this school district is vested in its board of education (“board”).  To guide the board and school district operations, and to assist it and its designees in carrying out duties, the board will establish, maintain, and amend a set of policies.</w:t>
      </w:r>
    </w:p>
    <w:p w14:paraId="0983BF35" w14:textId="77777777" w:rsidR="00372A7C" w:rsidRPr="00377E01" w:rsidRDefault="00372A7C" w:rsidP="00372A7C">
      <w:pPr>
        <w:jc w:val="both"/>
        <w:rPr>
          <w:rFonts w:ascii="Verdana" w:hAnsi="Verdana"/>
          <w:szCs w:val="24"/>
        </w:rPr>
      </w:pPr>
    </w:p>
    <w:p w14:paraId="1E4B0F60" w14:textId="77777777" w:rsidR="004C56A0" w:rsidRPr="00377E01" w:rsidRDefault="004C56A0" w:rsidP="00372A7C">
      <w:pPr>
        <w:jc w:val="both"/>
        <w:rPr>
          <w:rFonts w:ascii="Verdana" w:hAnsi="Verdana"/>
          <w:szCs w:val="24"/>
        </w:rPr>
      </w:pPr>
      <w:r w:rsidRPr="00377E01">
        <w:rPr>
          <w:rFonts w:ascii="Verdana" w:hAnsi="Verdana"/>
          <w:szCs w:val="24"/>
        </w:rPr>
        <w:t xml:space="preserve">Written board policies serve the following purposes:  </w:t>
      </w:r>
    </w:p>
    <w:p w14:paraId="4099956A" w14:textId="77777777" w:rsidR="00372A7C" w:rsidRPr="00377E01" w:rsidRDefault="00372A7C" w:rsidP="00372A7C">
      <w:pPr>
        <w:jc w:val="both"/>
        <w:rPr>
          <w:rFonts w:ascii="Verdana" w:hAnsi="Verdana"/>
          <w:szCs w:val="24"/>
        </w:rPr>
      </w:pPr>
    </w:p>
    <w:p w14:paraId="5F05DE8B" w14:textId="77777777" w:rsidR="004C56A0" w:rsidRPr="00377E01" w:rsidRDefault="004C56A0" w:rsidP="00372A7C">
      <w:pPr>
        <w:pStyle w:val="level1"/>
        <w:widowControl/>
        <w:numPr>
          <w:ilvl w:val="0"/>
          <w:numId w:val="1"/>
        </w:numPr>
        <w:tabs>
          <w:tab w:val="clear" w:pos="360"/>
          <w:tab w:val="clear" w:pos="360"/>
        </w:tabs>
        <w:ind w:left="720" w:hanging="720"/>
        <w:jc w:val="both"/>
        <w:rPr>
          <w:rFonts w:ascii="Verdana" w:hAnsi="Verdana"/>
          <w:szCs w:val="24"/>
        </w:rPr>
      </w:pPr>
      <w:r w:rsidRPr="00377E01">
        <w:rPr>
          <w:rFonts w:ascii="Verdana" w:hAnsi="Verdana"/>
          <w:szCs w:val="24"/>
        </w:rPr>
        <w:tab/>
        <w:t>Formally articulating the board’s goals and long-term objectives.</w:t>
      </w:r>
    </w:p>
    <w:p w14:paraId="7F376EEE" w14:textId="77777777" w:rsidR="004C56A0" w:rsidRPr="00377E01" w:rsidRDefault="004C56A0" w:rsidP="00372A7C">
      <w:pPr>
        <w:pStyle w:val="level1"/>
        <w:widowControl/>
        <w:numPr>
          <w:ilvl w:val="0"/>
          <w:numId w:val="1"/>
        </w:numPr>
        <w:tabs>
          <w:tab w:val="clear" w:pos="360"/>
          <w:tab w:val="clear" w:pos="360"/>
        </w:tabs>
        <w:ind w:left="720" w:hanging="720"/>
        <w:jc w:val="both"/>
        <w:rPr>
          <w:rFonts w:ascii="Verdana" w:hAnsi="Verdana"/>
          <w:szCs w:val="24"/>
        </w:rPr>
      </w:pPr>
      <w:r w:rsidRPr="00377E01">
        <w:rPr>
          <w:rFonts w:ascii="Verdana" w:hAnsi="Verdana"/>
          <w:szCs w:val="24"/>
        </w:rPr>
        <w:tab/>
        <w:t>Providing district administrators and staff with guidance in making decisions that affect students, employees and patrons of the district.</w:t>
      </w:r>
    </w:p>
    <w:p w14:paraId="0CA7AB02" w14:textId="77777777" w:rsidR="004C56A0" w:rsidRPr="00377E01" w:rsidRDefault="004C56A0" w:rsidP="00372A7C">
      <w:pPr>
        <w:pStyle w:val="level1"/>
        <w:widowControl/>
        <w:numPr>
          <w:ilvl w:val="0"/>
          <w:numId w:val="1"/>
        </w:numPr>
        <w:tabs>
          <w:tab w:val="clear" w:pos="360"/>
          <w:tab w:val="clear" w:pos="360"/>
        </w:tabs>
        <w:ind w:left="720" w:hanging="720"/>
        <w:jc w:val="both"/>
        <w:rPr>
          <w:rFonts w:ascii="Verdana" w:hAnsi="Verdana"/>
          <w:szCs w:val="24"/>
        </w:rPr>
      </w:pPr>
      <w:r w:rsidRPr="00377E01">
        <w:rPr>
          <w:rFonts w:ascii="Verdana" w:hAnsi="Verdana"/>
          <w:szCs w:val="24"/>
        </w:rPr>
        <w:tab/>
        <w:t>Informing the public of the manner that the board and district will conduct its business and its relationships with staff, pupils, parents and patrons.</w:t>
      </w:r>
    </w:p>
    <w:p w14:paraId="175819A9" w14:textId="77777777" w:rsidR="00372A7C" w:rsidRPr="00377E01" w:rsidRDefault="00372A7C" w:rsidP="00372A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Cs w:val="24"/>
        </w:rPr>
      </w:pPr>
    </w:p>
    <w:p w14:paraId="29DD2922" w14:textId="77777777" w:rsidR="004C56A0" w:rsidRPr="00377E01" w:rsidRDefault="004C56A0" w:rsidP="00372A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Cs w:val="24"/>
        </w:rPr>
      </w:pPr>
      <w:r w:rsidRPr="00377E01">
        <w:rPr>
          <w:rFonts w:ascii="Verdana" w:hAnsi="Verdana"/>
          <w:szCs w:val="24"/>
        </w:rPr>
        <w:t xml:space="preserve">To avoid unnecessary rigidity, these policies are stated in general terms.  With the exception of statutory requirements or instances when the specific application of a policy is essential to the long-term welfare of the district, these policies are intended to provide administrators with the flexibility to apply them to a wide range of situations.  </w:t>
      </w:r>
    </w:p>
    <w:p w14:paraId="247FD4CB" w14:textId="77777777" w:rsidR="00372A7C" w:rsidRPr="00377E01" w:rsidRDefault="00372A7C" w:rsidP="00372A7C">
      <w:pPr>
        <w:pStyle w:val="mainbody"/>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Verdana" w:hAnsi="Verdana"/>
          <w:sz w:val="24"/>
          <w:szCs w:val="24"/>
        </w:rPr>
      </w:pPr>
    </w:p>
    <w:p w14:paraId="5713489C" w14:textId="77777777" w:rsidR="004C56A0" w:rsidRPr="00377E01" w:rsidRDefault="004C56A0" w:rsidP="00372A7C">
      <w:pPr>
        <w:pStyle w:val="mainbody"/>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Verdana" w:hAnsi="Verdana"/>
          <w:sz w:val="24"/>
          <w:szCs w:val="24"/>
        </w:rPr>
      </w:pPr>
      <w:r w:rsidRPr="00377E01">
        <w:rPr>
          <w:rFonts w:ascii="Verdana" w:hAnsi="Verdana"/>
          <w:sz w:val="24"/>
          <w:szCs w:val="24"/>
        </w:rPr>
        <w:t>The policies are not the only guide</w:t>
      </w:r>
      <w:r w:rsidR="00372A7C" w:rsidRPr="00377E01">
        <w:rPr>
          <w:rFonts w:ascii="Verdana" w:hAnsi="Verdana"/>
          <w:sz w:val="24"/>
          <w:szCs w:val="24"/>
        </w:rPr>
        <w:t>line</w:t>
      </w:r>
      <w:r w:rsidRPr="00377E01">
        <w:rPr>
          <w:rFonts w:ascii="Verdana" w:hAnsi="Verdana"/>
          <w:sz w:val="24"/>
          <w:szCs w:val="24"/>
        </w:rPr>
        <w:t xml:space="preserve">s for district operations. Specific regulations, procedures, and practices also help guide and govern actions and decisions. They must be consistent with policies, but serve a different purpose.  </w:t>
      </w:r>
    </w:p>
    <w:p w14:paraId="19D572D9" w14:textId="77777777" w:rsidR="00372A7C" w:rsidRPr="00377E01" w:rsidRDefault="00372A7C" w:rsidP="00372A7C">
      <w:pPr>
        <w:pStyle w:val="mainbody"/>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Verdana" w:hAnsi="Verdana"/>
          <w:sz w:val="24"/>
          <w:szCs w:val="24"/>
        </w:rPr>
      </w:pPr>
    </w:p>
    <w:p w14:paraId="2CA3B112" w14:textId="77777777" w:rsidR="004C56A0" w:rsidRPr="00377E01" w:rsidRDefault="004C56A0" w:rsidP="00372A7C">
      <w:pPr>
        <w:pStyle w:val="mainbody"/>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Verdana" w:hAnsi="Verdana"/>
          <w:b/>
          <w:sz w:val="24"/>
          <w:szCs w:val="24"/>
        </w:rPr>
      </w:pPr>
      <w:r w:rsidRPr="00377E01">
        <w:rPr>
          <w:rFonts w:ascii="Verdana" w:hAnsi="Verdana"/>
          <w:b/>
          <w:sz w:val="24"/>
          <w:szCs w:val="24"/>
        </w:rPr>
        <w:t xml:space="preserve">Exceptional Circumstances </w:t>
      </w:r>
    </w:p>
    <w:p w14:paraId="1ECCC8E5" w14:textId="77777777" w:rsidR="00372A7C" w:rsidRPr="00377E01" w:rsidRDefault="00372A7C" w:rsidP="00372A7C">
      <w:pPr>
        <w:pStyle w:val="mainbody"/>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Verdana" w:hAnsi="Verdana"/>
          <w:sz w:val="24"/>
          <w:szCs w:val="24"/>
        </w:rPr>
      </w:pPr>
    </w:p>
    <w:p w14:paraId="3143CC5D" w14:textId="77777777" w:rsidR="00372A7C" w:rsidRPr="00377E01" w:rsidRDefault="004C56A0" w:rsidP="00372A7C">
      <w:pPr>
        <w:pStyle w:val="mainbody"/>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Verdana" w:hAnsi="Verdana"/>
          <w:sz w:val="24"/>
          <w:szCs w:val="24"/>
        </w:rPr>
      </w:pPr>
      <w:r w:rsidRPr="00377E01">
        <w:rPr>
          <w:rFonts w:ascii="Verdana" w:hAnsi="Verdana"/>
          <w:sz w:val="24"/>
          <w:szCs w:val="24"/>
        </w:rPr>
        <w:t>The board cannot foresee every situation that may arise, and circumstances will occur when these policies provide inadequate guidance.  In such circumstances, the superintendent should use his or her best judgment, and communicate with the board</w:t>
      </w:r>
      <w:r w:rsidR="00933837" w:rsidRPr="00377E01">
        <w:rPr>
          <w:rFonts w:ascii="Verdana" w:hAnsi="Verdana"/>
          <w:sz w:val="24"/>
          <w:szCs w:val="24"/>
        </w:rPr>
        <w:t xml:space="preserve"> about the situation as soon as i</w:t>
      </w:r>
      <w:r w:rsidRPr="00377E01">
        <w:rPr>
          <w:rFonts w:ascii="Verdana" w:hAnsi="Verdana"/>
          <w:sz w:val="24"/>
          <w:szCs w:val="24"/>
        </w:rPr>
        <w:t xml:space="preserve">s convenient. </w:t>
      </w:r>
    </w:p>
    <w:p w14:paraId="1103D717" w14:textId="77777777" w:rsidR="004C56A0" w:rsidRPr="00377E01" w:rsidRDefault="00372A7C" w:rsidP="00372A7C">
      <w:pPr>
        <w:pStyle w:val="mainbody"/>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Verdana" w:hAnsi="Verdana"/>
          <w:b/>
          <w:sz w:val="24"/>
          <w:szCs w:val="24"/>
        </w:rPr>
      </w:pPr>
      <w:r w:rsidRPr="00377E01">
        <w:rPr>
          <w:rFonts w:ascii="Verdana" w:hAnsi="Verdana"/>
          <w:sz w:val="24"/>
          <w:szCs w:val="24"/>
        </w:rPr>
        <w:br w:type="page"/>
      </w:r>
      <w:r w:rsidR="004C56A0" w:rsidRPr="00377E01">
        <w:rPr>
          <w:rFonts w:ascii="Verdana" w:hAnsi="Verdana"/>
          <w:b/>
          <w:sz w:val="24"/>
          <w:szCs w:val="24"/>
        </w:rPr>
        <w:lastRenderedPageBreak/>
        <w:t>Validity of Policies</w:t>
      </w:r>
    </w:p>
    <w:p w14:paraId="5B5F55E2" w14:textId="77777777" w:rsidR="00372A7C" w:rsidRPr="00377E01" w:rsidRDefault="00372A7C" w:rsidP="00372A7C">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color w:val="000000"/>
          <w:szCs w:val="24"/>
        </w:rPr>
      </w:pPr>
    </w:p>
    <w:p w14:paraId="736EB8B5" w14:textId="77777777" w:rsidR="004C56A0" w:rsidRPr="00377E01" w:rsidRDefault="00372A7C" w:rsidP="00372A7C">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color w:val="000000"/>
          <w:szCs w:val="24"/>
        </w:rPr>
      </w:pPr>
      <w:r w:rsidRPr="00377E01">
        <w:rPr>
          <w:rFonts w:ascii="Verdana" w:hAnsi="Verdana"/>
          <w:color w:val="000000"/>
          <w:szCs w:val="24"/>
        </w:rPr>
        <w:t>E</w:t>
      </w:r>
      <w:r w:rsidR="004C56A0" w:rsidRPr="00377E01">
        <w:rPr>
          <w:rFonts w:ascii="Verdana" w:hAnsi="Verdana"/>
          <w:color w:val="000000"/>
          <w:szCs w:val="24"/>
        </w:rPr>
        <w:t>ach policy and its provision should be interpreted so that it is valid under applicable law.  If a court determines that a provision of a policy is invalid, such invalidity shall not affect the remaining provisions of that policy.</w:t>
      </w:r>
    </w:p>
    <w:p w14:paraId="79B0F063" w14:textId="77777777" w:rsidR="004C56A0" w:rsidRPr="00377E01" w:rsidRDefault="004C56A0" w:rsidP="00372A7C">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color w:val="000000"/>
          <w:szCs w:val="24"/>
        </w:rPr>
      </w:pPr>
    </w:p>
    <w:p w14:paraId="1402F0E4" w14:textId="77777777" w:rsidR="004C56A0" w:rsidRPr="00377E01" w:rsidRDefault="004C56A0" w:rsidP="00372A7C">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color w:val="000000"/>
          <w:szCs w:val="24"/>
        </w:rPr>
      </w:pPr>
    </w:p>
    <w:p w14:paraId="4FE01619" w14:textId="77777777" w:rsidR="004C56A0" w:rsidRPr="00377E01" w:rsidRDefault="004C56A0" w:rsidP="00372A7C">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color w:val="000000"/>
          <w:szCs w:val="24"/>
        </w:rPr>
      </w:pPr>
    </w:p>
    <w:p w14:paraId="62BC8A8E" w14:textId="0260DC7C" w:rsidR="004C56A0" w:rsidRPr="00377E01" w:rsidRDefault="00DE7CF6" w:rsidP="00372A7C">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color w:val="000000"/>
          <w:szCs w:val="24"/>
        </w:rPr>
      </w:pPr>
      <w:r>
        <w:rPr>
          <w:rFonts w:ascii="Verdana" w:hAnsi="Verdana"/>
          <w:color w:val="000000"/>
          <w:szCs w:val="24"/>
        </w:rPr>
        <w:t>Adopted on: July 9, 2018</w:t>
      </w:r>
      <w:bookmarkStart w:id="1" w:name="_GoBack"/>
      <w:bookmarkEnd w:id="1"/>
    </w:p>
    <w:p w14:paraId="761C62BE" w14:textId="77777777" w:rsidR="004C56A0" w:rsidRPr="00377E01" w:rsidRDefault="004C56A0" w:rsidP="00372A7C">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color w:val="000000"/>
          <w:szCs w:val="24"/>
        </w:rPr>
      </w:pPr>
      <w:r w:rsidRPr="00377E01">
        <w:rPr>
          <w:rFonts w:ascii="Verdana" w:hAnsi="Verdana"/>
          <w:color w:val="000000"/>
          <w:szCs w:val="24"/>
        </w:rPr>
        <w:t>Revised on: _______________</w:t>
      </w:r>
    </w:p>
    <w:p w14:paraId="3A050836" w14:textId="77777777" w:rsidR="004C56A0" w:rsidRPr="00377E01" w:rsidRDefault="004C56A0" w:rsidP="00372A7C">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color w:val="000000"/>
          <w:szCs w:val="24"/>
        </w:rPr>
      </w:pPr>
      <w:r w:rsidRPr="00377E01">
        <w:rPr>
          <w:rFonts w:ascii="Verdana" w:hAnsi="Verdana"/>
          <w:color w:val="000000"/>
          <w:szCs w:val="24"/>
        </w:rPr>
        <w:t>Reviewed on: ______________</w:t>
      </w:r>
    </w:p>
    <w:p w14:paraId="6E18DCC0" w14:textId="77777777" w:rsidR="004C56A0" w:rsidRPr="00377E01" w:rsidRDefault="004C56A0" w:rsidP="00372A7C">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Cs w:val="24"/>
        </w:rPr>
      </w:pPr>
    </w:p>
    <w:sectPr w:rsidR="004C56A0" w:rsidRPr="00377E01" w:rsidSect="006D400C">
      <w:headerReference w:type="even" r:id="rId7"/>
      <w:headerReference w:type="default" r:id="rId8"/>
      <w:footerReference w:type="even" r:id="rId9"/>
      <w:footerReference w:type="default" r:id="rId10"/>
      <w:footnotePr>
        <w:numFmt w:val="lowerLetter"/>
      </w:footnotePr>
      <w:endnotePr>
        <w:numFmt w:val="lowerLetter"/>
      </w:endnotePr>
      <w:pgSz w:w="12240" w:h="15840"/>
      <w:pgMar w:top="1440" w:right="1800" w:bottom="1440" w:left="1800" w:header="144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2881F" w14:textId="77777777" w:rsidR="0017250F" w:rsidRDefault="0017250F">
      <w:r>
        <w:separator/>
      </w:r>
    </w:p>
  </w:endnote>
  <w:endnote w:type="continuationSeparator" w:id="0">
    <w:p w14:paraId="26D2FFAB" w14:textId="77777777" w:rsidR="0017250F" w:rsidRDefault="00172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C9E5A" w14:textId="77777777" w:rsidR="002D6EC6" w:rsidRPr="002D6EC6" w:rsidRDefault="002D6EC6" w:rsidP="002D6EC6">
    <w:pPr>
      <w:pStyle w:val="WP9Footer"/>
      <w:keepNext/>
      <w:keepLines/>
      <w:widowControl/>
      <w:jc w:val="center"/>
      <w:rPr>
        <w:rFonts w:ascii="Arial" w:hAnsi="Arial"/>
        <w:sz w:val="26"/>
        <w:szCs w:val="26"/>
      </w:rPr>
    </w:pPr>
    <w:r w:rsidRPr="002D6EC6">
      <w:rPr>
        <w:rFonts w:ascii="Arial" w:hAnsi="Arial"/>
        <w:sz w:val="26"/>
        <w:szCs w:val="26"/>
      </w:rPr>
      <w:t xml:space="preserve">Page </w:t>
    </w:r>
    <w:r w:rsidRPr="002D6EC6">
      <w:rPr>
        <w:rFonts w:ascii="Arial" w:hAnsi="Arial"/>
        <w:sz w:val="26"/>
        <w:szCs w:val="26"/>
      </w:rPr>
      <w:fldChar w:fldCharType="begin"/>
    </w:r>
    <w:r w:rsidRPr="002D6EC6">
      <w:rPr>
        <w:rFonts w:ascii="Arial" w:hAnsi="Arial"/>
        <w:sz w:val="26"/>
        <w:szCs w:val="26"/>
      </w:rPr>
      <w:instrText xml:space="preserve"> PAGE </w:instrText>
    </w:r>
    <w:r w:rsidRPr="002D6EC6">
      <w:rPr>
        <w:rFonts w:ascii="Arial" w:hAnsi="Arial"/>
        <w:sz w:val="26"/>
        <w:szCs w:val="26"/>
      </w:rPr>
      <w:fldChar w:fldCharType="separate"/>
    </w:r>
    <w:r>
      <w:rPr>
        <w:rFonts w:ascii="Arial" w:hAnsi="Arial"/>
        <w:noProof/>
        <w:sz w:val="26"/>
        <w:szCs w:val="26"/>
      </w:rPr>
      <w:t>2</w:t>
    </w:r>
    <w:r w:rsidRPr="002D6EC6">
      <w:rPr>
        <w:rFonts w:ascii="Arial" w:hAnsi="Arial"/>
        <w:sz w:val="26"/>
        <w:szCs w:val="26"/>
      </w:rPr>
      <w:fldChar w:fldCharType="end"/>
    </w:r>
    <w:r w:rsidRPr="002D6EC6">
      <w:rPr>
        <w:rFonts w:ascii="Arial" w:hAnsi="Arial"/>
        <w:sz w:val="26"/>
        <w:szCs w:val="26"/>
      </w:rPr>
      <w:t xml:space="preserve"> of </w:t>
    </w:r>
    <w:r w:rsidRPr="002D6EC6">
      <w:rPr>
        <w:rFonts w:ascii="Arial" w:hAnsi="Arial"/>
        <w:sz w:val="26"/>
        <w:szCs w:val="26"/>
      </w:rPr>
      <w:fldChar w:fldCharType="begin"/>
    </w:r>
    <w:r w:rsidRPr="002D6EC6">
      <w:rPr>
        <w:rFonts w:ascii="Arial" w:hAnsi="Arial"/>
        <w:sz w:val="26"/>
        <w:szCs w:val="26"/>
      </w:rPr>
      <w:instrText xml:space="preserve"> NUMPAGES </w:instrText>
    </w:r>
    <w:r w:rsidRPr="002D6EC6">
      <w:rPr>
        <w:rFonts w:ascii="Arial" w:hAnsi="Arial"/>
        <w:sz w:val="26"/>
        <w:szCs w:val="26"/>
      </w:rPr>
      <w:fldChar w:fldCharType="separate"/>
    </w:r>
    <w:r>
      <w:rPr>
        <w:rFonts w:ascii="Arial" w:hAnsi="Arial"/>
        <w:noProof/>
        <w:sz w:val="26"/>
        <w:szCs w:val="26"/>
      </w:rPr>
      <w:t>2</w:t>
    </w:r>
    <w:r w:rsidRPr="002D6EC6">
      <w:rPr>
        <w:rFonts w:ascii="Arial" w:hAnsi="Arial"/>
        <w:sz w:val="26"/>
        <w:szCs w:val="26"/>
      </w:rPr>
      <w:fldChar w:fldCharType="end"/>
    </w:r>
  </w:p>
  <w:p w14:paraId="46E3C4ED" w14:textId="77777777" w:rsidR="004C56A0" w:rsidRDefault="004C56A0">
    <w:pPr>
      <w:pStyle w:val="WP9Footer"/>
      <w:keepNext/>
      <w:keepLines/>
      <w:widowControl/>
    </w:pPr>
    <w:r>
      <w:rPr>
        <w:rFonts w:ascii="Arial" w:hAnsi="Arial"/>
        <w:sz w:val="18"/>
      </w:rPr>
      <w:fldChar w:fldCharType="begin"/>
    </w:r>
    <w:r>
      <w:rPr>
        <w:rFonts w:ascii="Arial" w:hAnsi="Arial"/>
        <w:sz w:val="18"/>
      </w:rPr>
      <w:instrText xml:space="preserve"> FILENAME \p \* MERGEFORMAT </w:instrText>
    </w:r>
    <w:r>
      <w:rPr>
        <w:rFonts w:ascii="Arial" w:hAnsi="Arial"/>
        <w:sz w:val="18"/>
      </w:rPr>
      <w:fldChar w:fldCharType="separate"/>
    </w:r>
    <w:r w:rsidR="002D6EC6">
      <w:rPr>
        <w:rFonts w:ascii="Arial" w:hAnsi="Arial"/>
        <w:noProof/>
        <w:sz w:val="18"/>
      </w:rPr>
      <w:t>I:\3\7613\POLICIES\Service\1000\1001 - general policy statement.doc</w:t>
    </w:r>
    <w:r>
      <w:rPr>
        <w:rFonts w:ascii="Arial" w:hAnsi="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CED11" w14:textId="77777777" w:rsidR="002D6EC6" w:rsidRDefault="002D6EC6">
    <w:pPr>
      <w:pStyle w:val="WP9Footer"/>
      <w:keepNext/>
      <w:keepLines/>
      <w:widowControl/>
      <w:spacing w:line="0" w:lineRule="atLeast"/>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AB2AC" w14:textId="77777777" w:rsidR="0017250F" w:rsidRDefault="0017250F">
      <w:r>
        <w:separator/>
      </w:r>
    </w:p>
  </w:footnote>
  <w:footnote w:type="continuationSeparator" w:id="0">
    <w:p w14:paraId="26AC103A" w14:textId="77777777" w:rsidR="0017250F" w:rsidRDefault="00172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68290" w14:textId="77777777" w:rsidR="004C56A0" w:rsidRDefault="004C56A0">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544FB" w14:textId="77777777" w:rsidR="004C56A0" w:rsidRPr="006D400C" w:rsidRDefault="004C56A0">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A7C"/>
    <w:rsid w:val="000753DA"/>
    <w:rsid w:val="00084B31"/>
    <w:rsid w:val="0017250F"/>
    <w:rsid w:val="002D6EC6"/>
    <w:rsid w:val="00300FEA"/>
    <w:rsid w:val="00372A7C"/>
    <w:rsid w:val="00377E01"/>
    <w:rsid w:val="004C56A0"/>
    <w:rsid w:val="006D400C"/>
    <w:rsid w:val="00755474"/>
    <w:rsid w:val="00862578"/>
    <w:rsid w:val="00933837"/>
    <w:rsid w:val="009E3329"/>
    <w:rsid w:val="00BA60C5"/>
    <w:rsid w:val="00DE7CF6"/>
    <w:rsid w:val="00E2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E715D4"/>
  <w15:chartTrackingRefBased/>
  <w15:docId w15:val="{CBDB138E-3DB6-4DD6-A080-E4376B56C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D6EC6"/>
    <w:pPr>
      <w:tabs>
        <w:tab w:val="center" w:pos="4320"/>
        <w:tab w:val="right" w:pos="8640"/>
      </w:tabs>
    </w:pPr>
  </w:style>
  <w:style w:type="paragraph" w:customStyle="1" w:styleId="level1">
    <w:name w:val="_leve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el2">
    <w:name w:val="_level2"/>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el3">
    <w:name w:val="_level3"/>
    <w:basedOn w:val="Normal"/>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el4">
    <w:name w:val="_level4"/>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el5">
    <w:name w:val="_level5"/>
    <w:basedOn w:val="Normal"/>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el6">
    <w:name w:val="_level6"/>
    <w:basedOn w:val="Normal"/>
    <w:pPr>
      <w:widowControl w:val="0"/>
      <w:tabs>
        <w:tab w:val="left" w:pos="2160"/>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el7">
    <w:name w:val="_level7"/>
    <w:basedOn w:val="Normal"/>
    <w:pPr>
      <w:widowControl w:val="0"/>
      <w:tabs>
        <w:tab w:val="left" w:pos="2520"/>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el8">
    <w:name w:val="_level8"/>
    <w:basedOn w:val="Normal"/>
    <w:pPr>
      <w:widowControl w:val="0"/>
      <w:tabs>
        <w:tab w:val="left" w:pos="2880"/>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el9">
    <w:name w:val="_level9"/>
    <w:basedOn w:val="Normal"/>
    <w:pPr>
      <w:widowControl w:val="0"/>
      <w:tabs>
        <w:tab w:val="left" w:pos="3240"/>
        <w:tab w:val="left" w:pos="3240"/>
        <w:tab w:val="left" w:pos="3600"/>
        <w:tab w:val="left" w:pos="4320"/>
        <w:tab w:val="left" w:pos="5040"/>
        <w:tab w:val="left" w:pos="5760"/>
        <w:tab w:val="left" w:pos="6480"/>
        <w:tab w:val="left" w:pos="7200"/>
        <w:tab w:val="left" w:pos="7920"/>
        <w:tab w:val="right" w:pos="8640"/>
      </w:tabs>
      <w:ind w:left="3240" w:hanging="360"/>
    </w:pPr>
  </w:style>
  <w:style w:type="paragraph" w:customStyle="1" w:styleId="levsl1">
    <w:name w:val="_levs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sl2">
    <w:name w:val="_levsl2"/>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sl3">
    <w:name w:val="_levsl3"/>
    <w:basedOn w:val="Normal"/>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sl4">
    <w:name w:val="_levsl4"/>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sl5">
    <w:name w:val="_levsl5"/>
    <w:basedOn w:val="Normal"/>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sl6">
    <w:name w:val="_levsl6"/>
    <w:basedOn w:val="Normal"/>
    <w:pPr>
      <w:widowControl w:val="0"/>
      <w:tabs>
        <w:tab w:val="left" w:pos="2160"/>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sl7">
    <w:name w:val="_levsl7"/>
    <w:basedOn w:val="Normal"/>
    <w:pPr>
      <w:widowControl w:val="0"/>
      <w:tabs>
        <w:tab w:val="left" w:pos="2520"/>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sl8">
    <w:name w:val="_levsl8"/>
    <w:basedOn w:val="Normal"/>
    <w:pPr>
      <w:widowControl w:val="0"/>
      <w:tabs>
        <w:tab w:val="left" w:pos="2880"/>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sl9">
    <w:name w:val="_levsl9"/>
    <w:basedOn w:val="Normal"/>
    <w:pPr>
      <w:widowControl w:val="0"/>
      <w:tabs>
        <w:tab w:val="left" w:pos="3240"/>
        <w:tab w:val="left" w:pos="3240"/>
        <w:tab w:val="left" w:pos="3600"/>
        <w:tab w:val="left" w:pos="4320"/>
        <w:tab w:val="left" w:pos="5040"/>
        <w:tab w:val="left" w:pos="5760"/>
        <w:tab w:val="left" w:pos="6480"/>
        <w:tab w:val="left" w:pos="7200"/>
        <w:tab w:val="left" w:pos="7920"/>
        <w:tab w:val="right" w:pos="8640"/>
      </w:tabs>
      <w:ind w:left="3240" w:hanging="360"/>
    </w:pPr>
  </w:style>
  <w:style w:type="paragraph" w:customStyle="1" w:styleId="levnl1">
    <w:name w:val="_levn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nl2">
    <w:name w:val="_levnl2"/>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nl3">
    <w:name w:val="_levnl3"/>
    <w:basedOn w:val="Normal"/>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nl4">
    <w:name w:val="_levnl4"/>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nl5">
    <w:name w:val="_levnl5"/>
    <w:basedOn w:val="Normal"/>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nl6">
    <w:name w:val="_levnl6"/>
    <w:basedOn w:val="Normal"/>
    <w:pPr>
      <w:widowControl w:val="0"/>
      <w:tabs>
        <w:tab w:val="left" w:pos="2160"/>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nl7">
    <w:name w:val="_levnl7"/>
    <w:basedOn w:val="Normal"/>
    <w:pPr>
      <w:widowControl w:val="0"/>
      <w:tabs>
        <w:tab w:val="left" w:pos="2520"/>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nl8">
    <w:name w:val="_levnl8"/>
    <w:basedOn w:val="Normal"/>
    <w:pPr>
      <w:widowControl w:val="0"/>
      <w:tabs>
        <w:tab w:val="left" w:pos="2880"/>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nl9">
    <w:name w:val="_levnl9"/>
    <w:basedOn w:val="Normal"/>
    <w:pPr>
      <w:widowControl w:val="0"/>
      <w:tabs>
        <w:tab w:val="left" w:pos="3240"/>
        <w:tab w:val="left" w:pos="3240"/>
        <w:tab w:val="left" w:pos="3600"/>
        <w:tab w:val="left" w:pos="4320"/>
        <w:tab w:val="left" w:pos="5040"/>
        <w:tab w:val="left" w:pos="5760"/>
        <w:tab w:val="left" w:pos="6480"/>
        <w:tab w:val="left" w:pos="7200"/>
        <w:tab w:val="left" w:pos="7920"/>
        <w:tab w:val="right" w:pos="8640"/>
      </w:tabs>
      <w:ind w:left="3240" w:hanging="360"/>
    </w:pPr>
  </w:style>
  <w:style w:type="character" w:customStyle="1" w:styleId="DefaultPara">
    <w:name w:val="Default Para"/>
    <w:rPr>
      <w:sz w:val="20"/>
    </w:rPr>
  </w:style>
  <w:style w:type="paragraph" w:customStyle="1" w:styleId="mainbody">
    <w:name w:val="mainbody"/>
    <w:basedOn w:val="Normal"/>
    <w:pPr>
      <w:widowControl w:val="0"/>
      <w:spacing w:after="100"/>
    </w:pPr>
    <w:rPr>
      <w:rFonts w:ascii="Arial" w:hAnsi="Arial"/>
      <w:color w:val="000000"/>
      <w:sz w:val="14"/>
    </w:rPr>
  </w:style>
  <w:style w:type="character" w:customStyle="1" w:styleId="WP9Strong">
    <w:name w:val="WP9_Strong"/>
    <w:rPr>
      <w:b/>
    </w:rPr>
  </w:style>
  <w:style w:type="paragraph" w:customStyle="1" w:styleId="WP9Header">
    <w:name w:val="WP9_Header"/>
    <w:basedOn w:val="Normal"/>
    <w:pPr>
      <w:widowControl w:val="0"/>
      <w:tabs>
        <w:tab w:val="left" w:pos="0"/>
        <w:tab w:val="center" w:pos="4320"/>
        <w:tab w:val="right" w:pos="8640"/>
      </w:tabs>
    </w:pPr>
  </w:style>
  <w:style w:type="paragraph" w:customStyle="1" w:styleId="WP9Footer">
    <w:name w:val="WP9_Footer"/>
    <w:basedOn w:val="Normal"/>
    <w:pPr>
      <w:widowControl w:val="0"/>
      <w:tabs>
        <w:tab w:val="left" w:pos="0"/>
        <w:tab w:val="center" w:pos="4320"/>
        <w:tab w:val="right" w:pos="8640"/>
      </w:tabs>
    </w:pPr>
  </w:style>
  <w:style w:type="paragraph" w:styleId="Footer">
    <w:name w:val="footer"/>
    <w:basedOn w:val="Normal"/>
    <w:rsid w:val="002D6EC6"/>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Harding, Shultz and Downs</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dc:creator>
  <cp:keywords/>
  <cp:lastModifiedBy>Microsoft Office User</cp:lastModifiedBy>
  <cp:revision>3</cp:revision>
  <cp:lastPrinted>2004-06-07T20:44:00Z</cp:lastPrinted>
  <dcterms:created xsi:type="dcterms:W3CDTF">2018-07-11T14:42:00Z</dcterms:created>
  <dcterms:modified xsi:type="dcterms:W3CDTF">2018-07-11T14:42:00Z</dcterms:modified>
</cp:coreProperties>
</file>